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A8F2" w14:textId="7F5EAC79" w:rsidR="007B6484" w:rsidRDefault="007B6484"/>
    <w:p w14:paraId="369F69F4" w14:textId="77777777" w:rsidR="00036D15" w:rsidRPr="00977948" w:rsidRDefault="00036D15" w:rsidP="00036D15">
      <w:pPr>
        <w:spacing w:before="120" w:after="120" w:line="360" w:lineRule="auto"/>
        <w:rPr>
          <w:rFonts w:ascii="Arial" w:hAnsi="Arial" w:cs="Arial"/>
          <w:b/>
          <w:bCs/>
          <w:sz w:val="28"/>
          <w:szCs w:val="28"/>
        </w:rPr>
      </w:pPr>
      <w:r w:rsidRPr="00977948">
        <w:rPr>
          <w:rFonts w:ascii="Arial" w:hAnsi="Arial" w:cs="Arial"/>
          <w:b/>
          <w:bCs/>
          <w:sz w:val="28"/>
          <w:szCs w:val="28"/>
        </w:rPr>
        <w:t>01</w:t>
      </w:r>
      <w:r w:rsidRPr="00977948">
        <w:rPr>
          <w:rFonts w:ascii="Arial" w:hAnsi="Arial" w:cs="Arial"/>
          <w:b/>
          <w:bCs/>
          <w:sz w:val="28"/>
          <w:szCs w:val="28"/>
        </w:rPr>
        <w:tab/>
        <w:t>Health and safety policy</w:t>
      </w:r>
    </w:p>
    <w:p w14:paraId="1CB0988C" w14:textId="77777777" w:rsidR="00036D15" w:rsidRPr="0049232B" w:rsidRDefault="00036D15" w:rsidP="00036D15">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01.1 to 01.22 Health and safety</w:t>
      </w:r>
      <w:r w:rsidRPr="0049232B">
        <w:rPr>
          <w:b w:val="0"/>
          <w:sz w:val="22"/>
          <w:szCs w:val="22"/>
        </w:rPr>
        <w:t>, this policy was adopted</w:t>
      </w:r>
      <w:r>
        <w:rPr>
          <w:b w:val="0"/>
          <w:sz w:val="22"/>
          <w:szCs w:val="22"/>
        </w:rPr>
        <w:t xml:space="preserve"> by </w:t>
      </w:r>
      <w:proofErr w:type="spellStart"/>
      <w:r>
        <w:rPr>
          <w:b w:val="0"/>
          <w:sz w:val="22"/>
          <w:szCs w:val="22"/>
        </w:rPr>
        <w:t>Brimpsfield</w:t>
      </w:r>
      <w:proofErr w:type="spellEnd"/>
      <w:r>
        <w:rPr>
          <w:b w:val="0"/>
          <w:sz w:val="22"/>
          <w:szCs w:val="22"/>
        </w:rPr>
        <w:t xml:space="preserve"> &amp; </w:t>
      </w:r>
      <w:proofErr w:type="spellStart"/>
      <w:r>
        <w:rPr>
          <w:b w:val="0"/>
          <w:sz w:val="22"/>
          <w:szCs w:val="22"/>
        </w:rPr>
        <w:t>Birdlip</w:t>
      </w:r>
      <w:proofErr w:type="spellEnd"/>
      <w:r>
        <w:rPr>
          <w:b w:val="0"/>
          <w:sz w:val="22"/>
          <w:szCs w:val="22"/>
        </w:rPr>
        <w:t xml:space="preserve"> Playgroup </w:t>
      </w:r>
      <w:r w:rsidRPr="0049232B">
        <w:rPr>
          <w:b w:val="0"/>
          <w:sz w:val="22"/>
          <w:szCs w:val="22"/>
        </w:rPr>
        <w:t xml:space="preserve">on </w:t>
      </w:r>
      <w:r>
        <w:rPr>
          <w:b w:val="0"/>
          <w:i/>
          <w:iCs/>
          <w:sz w:val="22"/>
          <w:szCs w:val="22"/>
        </w:rPr>
        <w:t>18/08/2022</w:t>
      </w:r>
      <w:r>
        <w:rPr>
          <w:b w:val="0"/>
          <w:sz w:val="22"/>
          <w:szCs w:val="22"/>
        </w:rPr>
        <w:t>.</w:t>
      </w:r>
    </w:p>
    <w:p w14:paraId="3DD903B5" w14:textId="77777777" w:rsidR="00036D15" w:rsidRPr="00702BF1" w:rsidRDefault="00036D15" w:rsidP="00036D15">
      <w:pPr>
        <w:pStyle w:val="Heading1"/>
        <w:spacing w:before="120" w:after="120" w:line="360" w:lineRule="auto"/>
        <w:rPr>
          <w:b w:val="0"/>
          <w:sz w:val="22"/>
          <w:szCs w:val="22"/>
        </w:rPr>
      </w:pPr>
      <w:r w:rsidRPr="00702BF1">
        <w:rPr>
          <w:sz w:val="22"/>
          <w:szCs w:val="22"/>
        </w:rPr>
        <w:t xml:space="preserve">Designated Health and Safety Officer </w:t>
      </w:r>
      <w:proofErr w:type="gramStart"/>
      <w:r w:rsidRPr="00702BF1">
        <w:rPr>
          <w:sz w:val="22"/>
          <w:szCs w:val="22"/>
        </w:rPr>
        <w:t>is:</w:t>
      </w:r>
      <w:proofErr w:type="gramEnd"/>
      <w:r w:rsidRPr="00702BF1">
        <w:rPr>
          <w:sz w:val="22"/>
          <w:szCs w:val="22"/>
        </w:rPr>
        <w:t xml:space="preserve"> </w:t>
      </w:r>
      <w:r>
        <w:rPr>
          <w:b w:val="0"/>
          <w:bCs w:val="0"/>
          <w:sz w:val="22"/>
          <w:szCs w:val="22"/>
        </w:rPr>
        <w:t>Barbara Hannis</w:t>
      </w:r>
    </w:p>
    <w:p w14:paraId="49701038" w14:textId="77777777" w:rsidR="00036D15" w:rsidRPr="00702BF1" w:rsidRDefault="00036D15" w:rsidP="00036D15">
      <w:pPr>
        <w:pStyle w:val="Heading1"/>
        <w:spacing w:before="120" w:after="120" w:line="360" w:lineRule="auto"/>
        <w:rPr>
          <w:sz w:val="22"/>
          <w:szCs w:val="22"/>
        </w:rPr>
      </w:pPr>
      <w:r w:rsidRPr="00702BF1">
        <w:rPr>
          <w:sz w:val="22"/>
          <w:szCs w:val="22"/>
        </w:rPr>
        <w:t>Aim</w:t>
      </w:r>
    </w:p>
    <w:p w14:paraId="6B2B0989" w14:textId="77777777" w:rsidR="00036D15" w:rsidRPr="00702BF1" w:rsidRDefault="00036D15" w:rsidP="00036D15">
      <w:pPr>
        <w:spacing w:before="120" w:after="120" w:line="360" w:lineRule="auto"/>
        <w:rPr>
          <w:rFonts w:ascii="Arial" w:hAnsi="Arial" w:cs="Arial"/>
          <w:bCs/>
          <w:sz w:val="22"/>
          <w:szCs w:val="22"/>
        </w:rPr>
      </w:pPr>
      <w:r w:rsidRPr="00702BF1">
        <w:rPr>
          <w:rFonts w:ascii="Arial" w:hAnsi="Arial" w:cs="Arial"/>
          <w:bCs/>
          <w:sz w:val="22"/>
          <w:szCs w:val="22"/>
        </w:rPr>
        <w:t xml:space="preserve">Our provision is a suitable, </w:t>
      </w:r>
      <w:proofErr w:type="gramStart"/>
      <w:r w:rsidRPr="00702BF1">
        <w:rPr>
          <w:rFonts w:ascii="Arial" w:hAnsi="Arial" w:cs="Arial"/>
          <w:bCs/>
          <w:sz w:val="22"/>
          <w:szCs w:val="22"/>
        </w:rPr>
        <w:t>clean</w:t>
      </w:r>
      <w:proofErr w:type="gramEnd"/>
      <w:r w:rsidRPr="00702BF1">
        <w:rPr>
          <w:rFonts w:ascii="Arial" w:hAnsi="Arial" w:cs="Arial"/>
          <w:bCs/>
          <w:sz w:val="22"/>
          <w:szCs w:val="22"/>
        </w:rPr>
        <w:t xml:space="preserve"> and safe place for children to be cared for, where they can grow and learn. We meet all statutory requirements for health and safety and fulfil the criteria for meeting the Early Years Foundation Stage Safeguarding and Welfare Requirements.</w:t>
      </w:r>
    </w:p>
    <w:p w14:paraId="6D19BAC3" w14:textId="77777777" w:rsidR="00036D15" w:rsidRPr="00702BF1" w:rsidRDefault="00036D15" w:rsidP="00036D15">
      <w:pPr>
        <w:spacing w:before="120" w:after="120" w:line="360" w:lineRule="auto"/>
        <w:rPr>
          <w:rFonts w:ascii="Arial" w:hAnsi="Arial" w:cs="Arial"/>
          <w:b/>
          <w:sz w:val="22"/>
          <w:szCs w:val="22"/>
        </w:rPr>
      </w:pPr>
      <w:r w:rsidRPr="00702BF1">
        <w:rPr>
          <w:rFonts w:ascii="Arial" w:hAnsi="Arial" w:cs="Arial"/>
          <w:b/>
          <w:sz w:val="22"/>
          <w:szCs w:val="22"/>
        </w:rPr>
        <w:t xml:space="preserve">Objectives </w:t>
      </w:r>
    </w:p>
    <w:p w14:paraId="0F1EBD8F" w14:textId="77777777" w:rsidR="00036D15" w:rsidRPr="00702BF1" w:rsidRDefault="00036D15" w:rsidP="00036D15">
      <w:pPr>
        <w:numPr>
          <w:ilvl w:val="0"/>
          <w:numId w:val="1"/>
        </w:numPr>
        <w:spacing w:before="120" w:after="120" w:line="360" w:lineRule="auto"/>
        <w:rPr>
          <w:rFonts w:ascii="Arial" w:hAnsi="Arial" w:cs="Arial"/>
          <w:sz w:val="22"/>
          <w:szCs w:val="22"/>
        </w:rPr>
      </w:pPr>
      <w:r w:rsidRPr="00702BF1">
        <w:rPr>
          <w:rFonts w:ascii="Arial" w:hAnsi="Arial" w:cs="Arial"/>
          <w:sz w:val="22"/>
          <w:szCs w:val="22"/>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295ACE06" w14:textId="77777777" w:rsidR="00036D15" w:rsidRPr="00702BF1" w:rsidRDefault="00036D15" w:rsidP="00036D15">
      <w:pPr>
        <w:numPr>
          <w:ilvl w:val="0"/>
          <w:numId w:val="1"/>
        </w:numPr>
        <w:spacing w:before="120" w:after="120" w:line="360" w:lineRule="auto"/>
        <w:rPr>
          <w:rFonts w:ascii="Arial" w:hAnsi="Arial" w:cs="Arial"/>
          <w:sz w:val="22"/>
          <w:szCs w:val="22"/>
        </w:rPr>
      </w:pPr>
      <w:r w:rsidRPr="00702BF1">
        <w:rPr>
          <w:rFonts w:ascii="Arial" w:hAnsi="Arial" w:cs="Arial"/>
          <w:sz w:val="22"/>
          <w:szCs w:val="22"/>
        </w:rPr>
        <w:t>Insurance is in place (including public liability) and an up-to-date certificate is always displayed.</w:t>
      </w:r>
    </w:p>
    <w:p w14:paraId="1B9E8310" w14:textId="77777777" w:rsidR="00036D15" w:rsidRPr="00702BF1" w:rsidRDefault="00036D15" w:rsidP="00036D15">
      <w:pPr>
        <w:numPr>
          <w:ilvl w:val="0"/>
          <w:numId w:val="1"/>
        </w:numPr>
        <w:spacing w:before="120" w:after="120" w:line="360" w:lineRule="auto"/>
        <w:rPr>
          <w:rFonts w:ascii="Arial" w:hAnsi="Arial" w:cs="Arial"/>
          <w:sz w:val="22"/>
          <w:szCs w:val="22"/>
        </w:rPr>
      </w:pPr>
      <w:r w:rsidRPr="00702BF1">
        <w:rPr>
          <w:rFonts w:ascii="Arial" w:hAnsi="Arial" w:cs="Arial"/>
          <w:sz w:val="22"/>
          <w:szCs w:val="22"/>
        </w:rPr>
        <w:t xml:space="preserve">Risk assessment is carried out to ensure the safety of children, staff, parents, and visitors. Legislation requires all those individuals in the given workplace to be responsible for the health and safety of premises, equipment and working practices. </w:t>
      </w:r>
    </w:p>
    <w:p w14:paraId="2B16D036" w14:textId="77777777" w:rsidR="00036D15" w:rsidRPr="00702BF1" w:rsidRDefault="00036D15" w:rsidP="00036D15">
      <w:pPr>
        <w:numPr>
          <w:ilvl w:val="0"/>
          <w:numId w:val="1"/>
        </w:numPr>
        <w:spacing w:before="120" w:after="120" w:line="360" w:lineRule="auto"/>
        <w:rPr>
          <w:rFonts w:ascii="Arial" w:hAnsi="Arial" w:cs="Arial"/>
          <w:sz w:val="22"/>
          <w:szCs w:val="22"/>
        </w:rPr>
      </w:pPr>
      <w:r w:rsidRPr="00702BF1">
        <w:rPr>
          <w:rFonts w:ascii="Arial" w:hAnsi="Arial" w:cs="Arial"/>
          <w:sz w:val="22"/>
          <w:szCs w:val="22"/>
        </w:rPr>
        <w:t>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14:paraId="253E6177" w14:textId="77777777" w:rsidR="00036D15" w:rsidRPr="00702BF1" w:rsidRDefault="00036D15" w:rsidP="00036D15">
      <w:pPr>
        <w:numPr>
          <w:ilvl w:val="0"/>
          <w:numId w:val="1"/>
        </w:numPr>
        <w:spacing w:before="120" w:after="120" w:line="360" w:lineRule="auto"/>
        <w:rPr>
          <w:rFonts w:ascii="Arial" w:hAnsi="Arial" w:cs="Arial"/>
          <w:sz w:val="22"/>
          <w:szCs w:val="22"/>
        </w:rPr>
      </w:pPr>
      <w:r w:rsidRPr="00702BF1">
        <w:rPr>
          <w:rFonts w:ascii="Arial" w:hAnsi="Arial" w:cs="Arial"/>
          <w:sz w:val="22"/>
          <w:szCs w:val="22"/>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652DCE65" w14:textId="77777777" w:rsidR="00036D15" w:rsidRPr="00702BF1" w:rsidRDefault="00036D15" w:rsidP="00036D15">
      <w:pPr>
        <w:numPr>
          <w:ilvl w:val="0"/>
          <w:numId w:val="1"/>
        </w:numPr>
        <w:spacing w:before="120" w:after="120" w:line="360" w:lineRule="auto"/>
        <w:rPr>
          <w:rFonts w:ascii="Arial" w:hAnsi="Arial" w:cs="Arial"/>
          <w:sz w:val="22"/>
          <w:szCs w:val="22"/>
        </w:rPr>
      </w:pPr>
      <w:r w:rsidRPr="00702BF1">
        <w:rPr>
          <w:rFonts w:ascii="Arial" w:hAnsi="Arial" w:cs="Arial"/>
          <w:sz w:val="22"/>
          <w:szCs w:val="22"/>
        </w:rPr>
        <w:t xml:space="preserve">Alcohol must not be bought onto the premises for consumption. </w:t>
      </w:r>
    </w:p>
    <w:p w14:paraId="2953F36D" w14:textId="77777777" w:rsidR="00036D15" w:rsidRPr="00702BF1" w:rsidRDefault="00036D15" w:rsidP="00036D15">
      <w:pPr>
        <w:numPr>
          <w:ilvl w:val="0"/>
          <w:numId w:val="2"/>
        </w:numPr>
        <w:spacing w:before="120" w:after="120" w:line="360" w:lineRule="auto"/>
        <w:rPr>
          <w:rFonts w:ascii="Arial" w:hAnsi="Arial" w:cs="Arial"/>
          <w:sz w:val="22"/>
          <w:szCs w:val="22"/>
        </w:rPr>
      </w:pPr>
      <w:r w:rsidRPr="006F79E2">
        <w:rPr>
          <w:rFonts w:ascii="Arial" w:hAnsi="Arial" w:cs="Arial"/>
          <w:sz w:val="22"/>
          <w:szCs w:val="22"/>
        </w:rPr>
        <w:lastRenderedPageBreak/>
        <w:t>A risk assessment (01.1a Generic risk assessment)</w:t>
      </w:r>
      <w:r>
        <w:rPr>
          <w:rFonts w:ascii="Arial" w:hAnsi="Arial" w:cs="Arial"/>
          <w:sz w:val="22"/>
          <w:szCs w:val="22"/>
        </w:rPr>
        <w:t xml:space="preserve"> </w:t>
      </w:r>
      <w:r w:rsidRPr="006F79E2">
        <w:rPr>
          <w:rFonts w:ascii="Arial" w:hAnsi="Arial" w:cs="Arial"/>
          <w:sz w:val="22"/>
          <w:szCs w:val="22"/>
        </w:rPr>
        <w:t>and access audit (01.1b Access audit form) are</w:t>
      </w:r>
      <w:r w:rsidRPr="00702BF1">
        <w:rPr>
          <w:rFonts w:ascii="Arial" w:hAnsi="Arial" w:cs="Arial"/>
          <w:sz w:val="22"/>
          <w:szCs w:val="22"/>
        </w:rPr>
        <w:t xml:space="preserve"> carried out for each area and the procedure is modified according to needs identified for the specific environment.</w:t>
      </w:r>
    </w:p>
    <w:p w14:paraId="14AE644F" w14:textId="77777777" w:rsidR="00036D15" w:rsidRPr="00702BF1" w:rsidRDefault="00036D15" w:rsidP="00036D15">
      <w:pPr>
        <w:numPr>
          <w:ilvl w:val="0"/>
          <w:numId w:val="2"/>
        </w:numPr>
        <w:spacing w:before="120" w:after="120" w:line="360" w:lineRule="auto"/>
        <w:rPr>
          <w:rFonts w:ascii="Arial" w:hAnsi="Arial" w:cs="Arial"/>
          <w:b/>
          <w:sz w:val="22"/>
          <w:szCs w:val="22"/>
        </w:rPr>
      </w:pPr>
      <w:r w:rsidRPr="00702BF1">
        <w:rPr>
          <w:rFonts w:ascii="Arial" w:hAnsi="Arial" w:cs="Arial"/>
          <w:sz w:val="22"/>
          <w:szCs w:val="22"/>
        </w:rPr>
        <w:t>Risk assessments are monitored and reviewed by those responsible for health and safety.</w:t>
      </w:r>
    </w:p>
    <w:p w14:paraId="014AD7A9" w14:textId="77777777" w:rsidR="00036D15" w:rsidRPr="00702BF1" w:rsidRDefault="00036D15" w:rsidP="00036D15">
      <w:pPr>
        <w:pStyle w:val="Heading6"/>
        <w:spacing w:before="120" w:after="120" w:line="360" w:lineRule="auto"/>
        <w:rPr>
          <w:rFonts w:ascii="Arial" w:hAnsi="Arial" w:cs="Arial"/>
          <w:b/>
          <w:i w:val="0"/>
          <w:color w:val="000000"/>
          <w:sz w:val="22"/>
          <w:szCs w:val="22"/>
        </w:rPr>
      </w:pPr>
      <w:r w:rsidRPr="00702BF1">
        <w:rPr>
          <w:rFonts w:ascii="Arial" w:hAnsi="Arial" w:cs="Arial"/>
          <w:b/>
          <w:i w:val="0"/>
          <w:color w:val="000000"/>
          <w:sz w:val="22"/>
          <w:szCs w:val="22"/>
        </w:rPr>
        <w:t>Legal references</w:t>
      </w:r>
    </w:p>
    <w:p w14:paraId="2F402146"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Health and Safety at Work etc Act 1974</w:t>
      </w:r>
    </w:p>
    <w:p w14:paraId="4A493AB8"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Health and Safety (Consultation with Employees) Regulations 1996</w:t>
      </w:r>
    </w:p>
    <w:p w14:paraId="765E8456"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Management of Health and Safety at Work Regulations (199</w:t>
      </w:r>
      <w:r>
        <w:rPr>
          <w:rFonts w:ascii="Arial" w:hAnsi="Arial" w:cs="Arial"/>
          <w:sz w:val="22"/>
          <w:szCs w:val="22"/>
        </w:rPr>
        <w:t>9</w:t>
      </w:r>
      <w:r w:rsidRPr="00702BF1">
        <w:rPr>
          <w:rFonts w:ascii="Arial" w:hAnsi="Arial" w:cs="Arial"/>
          <w:sz w:val="22"/>
          <w:szCs w:val="22"/>
        </w:rPr>
        <w:t>)</w:t>
      </w:r>
    </w:p>
    <w:p w14:paraId="2307D786"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Regulatory Reform (Fire Safety) Order 2005)</w:t>
      </w:r>
    </w:p>
    <w:p w14:paraId="7EE3E1F4"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Electricity at Work Regulations (1989)</w:t>
      </w:r>
    </w:p>
    <w:p w14:paraId="07604947"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 xml:space="preserve">Regulation (EC) No 852/2004 of the European Parliament and of the Council </w:t>
      </w:r>
      <w:r w:rsidRPr="00400C6A">
        <w:rPr>
          <w:rFonts w:ascii="Arial" w:hAnsi="Arial" w:cs="Arial"/>
          <w:sz w:val="22"/>
          <w:szCs w:val="22"/>
        </w:rPr>
        <w:t>on the hygiene of foodstuffs</w:t>
      </w:r>
    </w:p>
    <w:p w14:paraId="13E7D12F"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Manual Handling Operations Regulations (1992) (Amended 2002)</w:t>
      </w:r>
    </w:p>
    <w:p w14:paraId="3F50A7E1"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Medicines Act (1968)</w:t>
      </w:r>
    </w:p>
    <w:p w14:paraId="1445383C"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Reporting of Injuries, Diseases and Dangerous Occurrences Regulations (RIDDOR) (Amendment) Regulations 2012</w:t>
      </w:r>
    </w:p>
    <w:p w14:paraId="3E8B12F0"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Control of Substances Hazardous to Health (COSHH) Regulations 2004</w:t>
      </w:r>
    </w:p>
    <w:p w14:paraId="7862636A"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Health and Safety (First Aid) Regulations 1981</w:t>
      </w:r>
    </w:p>
    <w:p w14:paraId="718CDEBA" w14:textId="77777777" w:rsidR="00036D15" w:rsidRPr="00702BF1" w:rsidRDefault="00036D15" w:rsidP="00036D15">
      <w:pPr>
        <w:spacing w:before="120" w:after="120" w:line="360" w:lineRule="auto"/>
        <w:rPr>
          <w:rFonts w:ascii="Arial" w:hAnsi="Arial" w:cs="Arial"/>
          <w:sz w:val="22"/>
          <w:szCs w:val="22"/>
        </w:rPr>
      </w:pPr>
      <w:r w:rsidRPr="00702BF1">
        <w:rPr>
          <w:rFonts w:ascii="Arial" w:hAnsi="Arial" w:cs="Arial"/>
          <w:sz w:val="22"/>
          <w:szCs w:val="22"/>
        </w:rPr>
        <w:t>Childcare Act 2006</w:t>
      </w:r>
    </w:p>
    <w:p w14:paraId="44498446" w14:textId="77777777" w:rsidR="00036D15" w:rsidRPr="00702BF1" w:rsidRDefault="00036D15" w:rsidP="00036D15">
      <w:pPr>
        <w:spacing w:before="120" w:after="120" w:line="360" w:lineRule="auto"/>
        <w:rPr>
          <w:rFonts w:ascii="Arial" w:hAnsi="Arial" w:cs="Arial"/>
          <w:b/>
          <w:bCs/>
          <w:sz w:val="22"/>
          <w:szCs w:val="22"/>
        </w:rPr>
      </w:pPr>
      <w:r w:rsidRPr="00702BF1">
        <w:rPr>
          <w:rFonts w:ascii="Arial" w:hAnsi="Arial" w:cs="Arial"/>
          <w:b/>
          <w:bCs/>
          <w:sz w:val="22"/>
          <w:szCs w:val="22"/>
        </w:rPr>
        <w:t>Further guidance</w:t>
      </w:r>
    </w:p>
    <w:p w14:paraId="53645143" w14:textId="77777777" w:rsidR="00036D15" w:rsidRPr="00702BF1" w:rsidRDefault="00036D15" w:rsidP="00036D15">
      <w:pPr>
        <w:spacing w:before="120" w:after="120" w:line="360" w:lineRule="auto"/>
        <w:rPr>
          <w:rFonts w:ascii="Arial" w:hAnsi="Arial" w:cs="Arial"/>
          <w:sz w:val="22"/>
          <w:szCs w:val="22"/>
        </w:rPr>
      </w:pPr>
      <w:hyperlink r:id="rId7" w:anchor="!prod/d28ed1d4-7564-ea11-a811-000d3a0bad7c/curr/GBP" w:history="1">
        <w:r w:rsidRPr="00E4422A">
          <w:rPr>
            <w:rStyle w:val="Hyperlink"/>
            <w:rFonts w:ascii="Arial" w:hAnsi="Arial" w:cs="Arial"/>
            <w:sz w:val="22"/>
            <w:szCs w:val="22"/>
          </w:rPr>
          <w:t>Dynamic Risk Management in the Early Years</w:t>
        </w:r>
      </w:hyperlink>
      <w:r w:rsidRPr="00702BF1">
        <w:rPr>
          <w:rFonts w:ascii="Arial" w:hAnsi="Arial" w:cs="Arial"/>
          <w:sz w:val="22"/>
          <w:szCs w:val="22"/>
        </w:rPr>
        <w:t xml:space="preserve"> (Alliance 2017)</w:t>
      </w:r>
    </w:p>
    <w:p w14:paraId="4A8E5D64" w14:textId="77777777" w:rsidR="00036D15" w:rsidRPr="00404E31" w:rsidRDefault="00036D15" w:rsidP="00036D15">
      <w:pPr>
        <w:spacing w:before="120" w:after="120" w:line="360" w:lineRule="auto"/>
        <w:rPr>
          <w:rFonts w:ascii="Arial" w:hAnsi="Arial" w:cs="Arial"/>
          <w:sz w:val="22"/>
          <w:szCs w:val="22"/>
        </w:rPr>
      </w:pPr>
      <w:r w:rsidRPr="00404E31">
        <w:rPr>
          <w:rFonts w:ascii="Arial" w:hAnsi="Arial" w:cs="Arial"/>
          <w:sz w:val="22"/>
          <w:szCs w:val="22"/>
        </w:rPr>
        <w:t xml:space="preserve">Health and Safety Executive </w:t>
      </w:r>
      <w:r>
        <w:rPr>
          <w:rStyle w:val="Hyperlink"/>
          <w:rFonts w:ascii="Arial" w:hAnsi="Arial" w:cs="Arial"/>
          <w:sz w:val="22"/>
          <w:szCs w:val="22"/>
        </w:rPr>
        <w:t>www.hse.gov.uk/risk</w:t>
      </w:r>
    </w:p>
    <w:p w14:paraId="52A1AE4D" w14:textId="77777777" w:rsidR="00036D15" w:rsidRPr="00400C6A" w:rsidRDefault="00036D15" w:rsidP="00036D15">
      <w:pPr>
        <w:spacing w:before="120" w:after="120" w:line="360" w:lineRule="auto"/>
        <w:rPr>
          <w:rFonts w:ascii="Arial" w:hAnsi="Arial" w:cs="Arial"/>
          <w:sz w:val="22"/>
          <w:szCs w:val="22"/>
        </w:rPr>
      </w:pPr>
      <w:r w:rsidRPr="00400C6A">
        <w:rPr>
          <w:rFonts w:ascii="Arial" w:hAnsi="Arial" w:cs="Arial"/>
          <w:sz w:val="22"/>
          <w:szCs w:val="22"/>
        </w:rPr>
        <w:t xml:space="preserve">Food Standards Agency </w:t>
      </w:r>
      <w:hyperlink r:id="rId8" w:history="1">
        <w:r w:rsidRPr="00400C6A">
          <w:rPr>
            <w:rStyle w:val="Hyperlink"/>
            <w:rFonts w:ascii="Arial" w:hAnsi="Arial" w:cs="Arial"/>
            <w:sz w:val="22"/>
            <w:szCs w:val="22"/>
          </w:rPr>
          <w:t>www.food.gov.uk</w:t>
        </w:r>
      </w:hyperlink>
      <w:r w:rsidRPr="00400C6A">
        <w:rPr>
          <w:rFonts w:ascii="Arial" w:hAnsi="Arial" w:cs="Arial"/>
          <w:sz w:val="22"/>
          <w:szCs w:val="22"/>
        </w:rPr>
        <w:t xml:space="preserve"> </w:t>
      </w:r>
    </w:p>
    <w:p w14:paraId="1FA8AC2C" w14:textId="77777777" w:rsidR="00036D15" w:rsidRPr="00732C38" w:rsidRDefault="00036D15" w:rsidP="00036D15">
      <w:pPr>
        <w:spacing w:before="120" w:after="120" w:line="360" w:lineRule="auto"/>
        <w:rPr>
          <w:rFonts w:ascii="Arial" w:hAnsi="Arial" w:cs="Arial"/>
          <w:sz w:val="22"/>
          <w:szCs w:val="22"/>
        </w:rPr>
      </w:pPr>
      <w:r w:rsidRPr="00400C6A">
        <w:rPr>
          <w:rFonts w:ascii="Arial" w:hAnsi="Arial" w:cs="Arial"/>
          <w:sz w:val="22"/>
          <w:szCs w:val="22"/>
        </w:rPr>
        <w:t xml:space="preserve">Ministry or Housing, Communities &amp; Local Government </w:t>
      </w:r>
      <w:hyperlink r:id="rId9" w:history="1">
        <w:r w:rsidRPr="00400C6A">
          <w:rPr>
            <w:rStyle w:val="Hyperlink"/>
            <w:rFonts w:ascii="Arial" w:hAnsi="Arial" w:cs="Arial"/>
            <w:sz w:val="22"/>
            <w:szCs w:val="22"/>
          </w:rPr>
          <w:t>www.communities.gov.uk</w:t>
        </w:r>
      </w:hyperlink>
    </w:p>
    <w:p w14:paraId="43FE9240" w14:textId="4987E4E2" w:rsidR="001D732C" w:rsidRDefault="001D732C" w:rsidP="001D732C">
      <w:pPr>
        <w:jc w:val="right"/>
      </w:pPr>
      <w:r>
        <w:t>18/08/2022</w:t>
      </w:r>
    </w:p>
    <w:sectPr w:rsidR="001D732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4297F" w14:textId="77777777" w:rsidR="000A74A9" w:rsidRDefault="000A74A9" w:rsidP="00582EDA">
      <w:r>
        <w:separator/>
      </w:r>
    </w:p>
  </w:endnote>
  <w:endnote w:type="continuationSeparator" w:id="0">
    <w:p w14:paraId="06A760EA" w14:textId="77777777" w:rsidR="000A74A9" w:rsidRDefault="000A74A9" w:rsidP="0058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FFDE" w14:textId="77777777" w:rsidR="000A74A9" w:rsidRDefault="000A74A9" w:rsidP="00582EDA">
      <w:r>
        <w:separator/>
      </w:r>
    </w:p>
  </w:footnote>
  <w:footnote w:type="continuationSeparator" w:id="0">
    <w:p w14:paraId="05630241" w14:textId="77777777" w:rsidR="000A74A9" w:rsidRDefault="000A74A9" w:rsidP="00582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47A" w14:textId="66EE95D3" w:rsidR="00582EDA" w:rsidRPr="00582EDA" w:rsidRDefault="00582EDA" w:rsidP="00582EDA">
    <w:pPr>
      <w:pStyle w:val="Header"/>
      <w:jc w:val="center"/>
      <w:rPr>
        <w:rFonts w:ascii="Comic Sans MS" w:hAnsi="Comic Sans MS"/>
        <w:sz w:val="48"/>
        <w:szCs w:val="48"/>
      </w:rPr>
    </w:pPr>
    <w:r w:rsidRPr="0010625F">
      <w:rPr>
        <w:noProof/>
        <w:sz w:val="23"/>
        <w:szCs w:val="23"/>
      </w:rPr>
      <w:drawing>
        <wp:anchor distT="0" distB="0" distL="114300" distR="114300" simplePos="0" relativeHeight="251659264" behindDoc="1" locked="0" layoutInCell="1" allowOverlap="1" wp14:anchorId="69F6BB48" wp14:editId="7C72C2D9">
          <wp:simplePos x="0" y="0"/>
          <wp:positionH relativeFrom="column">
            <wp:posOffset>-692150</wp:posOffset>
          </wp:positionH>
          <wp:positionV relativeFrom="paragraph">
            <wp:posOffset>-373380</wp:posOffset>
          </wp:positionV>
          <wp:extent cx="730250" cy="664845"/>
          <wp:effectExtent l="0" t="0" r="0" b="1905"/>
          <wp:wrapTight wrapText="bothSides">
            <wp:wrapPolygon edited="0">
              <wp:start x="0" y="0"/>
              <wp:lineTo x="0" y="21043"/>
              <wp:lineTo x="20849" y="21043"/>
              <wp:lineTo x="20849" y="0"/>
              <wp:lineTo x="0" y="0"/>
            </wp:wrapPolygon>
          </wp:wrapTight>
          <wp:docPr id="5" name="Picture 4" descr="logo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2.bmp"/>
                  <pic:cNvPicPr/>
                </pic:nvPicPr>
                <pic:blipFill>
                  <a:blip r:embed="rId1" cstate="print"/>
                  <a:stretch>
                    <a:fillRect/>
                  </a:stretch>
                </pic:blipFill>
                <pic:spPr>
                  <a:xfrm>
                    <a:off x="0" y="0"/>
                    <a:ext cx="730250" cy="66484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582EDA">
      <w:rPr>
        <w:rFonts w:ascii="Comic Sans MS" w:hAnsi="Comic Sans MS"/>
        <w:sz w:val="48"/>
        <w:szCs w:val="48"/>
      </w:rPr>
      <w:t>Brimpsfield</w:t>
    </w:r>
    <w:proofErr w:type="spellEnd"/>
    <w:r w:rsidRPr="00582EDA">
      <w:rPr>
        <w:rFonts w:ascii="Comic Sans MS" w:hAnsi="Comic Sans MS"/>
        <w:sz w:val="48"/>
        <w:szCs w:val="48"/>
      </w:rPr>
      <w:t xml:space="preserve"> &amp; </w:t>
    </w:r>
    <w:proofErr w:type="spellStart"/>
    <w:r w:rsidRPr="00582EDA">
      <w:rPr>
        <w:rFonts w:ascii="Comic Sans MS" w:hAnsi="Comic Sans MS"/>
        <w:sz w:val="48"/>
        <w:szCs w:val="48"/>
      </w:rPr>
      <w:t>Birdlip</w:t>
    </w:r>
    <w:proofErr w:type="spellEnd"/>
    <w:r w:rsidRPr="00582EDA">
      <w:rPr>
        <w:rFonts w:ascii="Comic Sans MS" w:hAnsi="Comic Sans MS"/>
        <w:sz w:val="48"/>
        <w:szCs w:val="48"/>
      </w:rPr>
      <w:t xml:space="preserve"> Playgroup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num w:numId="1" w16cid:durableId="1981180952">
    <w:abstractNumId w:val="2"/>
  </w:num>
  <w:num w:numId="2" w16cid:durableId="311643871">
    <w:abstractNumId w:val="1"/>
  </w:num>
  <w:num w:numId="3" w16cid:durableId="187473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EDA"/>
    <w:rsid w:val="00036D15"/>
    <w:rsid w:val="000A74A9"/>
    <w:rsid w:val="001D732C"/>
    <w:rsid w:val="00582EDA"/>
    <w:rsid w:val="00630132"/>
    <w:rsid w:val="007B21CC"/>
    <w:rsid w:val="007B6484"/>
    <w:rsid w:val="00B32CCD"/>
    <w:rsid w:val="00CF2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2462"/>
  <w15:chartTrackingRefBased/>
  <w15:docId w15:val="{66F8EDD7-0E59-4C78-970F-39AAA17C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E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2EDA"/>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82EDA"/>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DA"/>
    <w:pPr>
      <w:tabs>
        <w:tab w:val="center" w:pos="4513"/>
        <w:tab w:val="right" w:pos="9026"/>
      </w:tabs>
    </w:pPr>
  </w:style>
  <w:style w:type="character" w:customStyle="1" w:styleId="HeaderChar">
    <w:name w:val="Header Char"/>
    <w:basedOn w:val="DefaultParagraphFont"/>
    <w:link w:val="Header"/>
    <w:uiPriority w:val="99"/>
    <w:rsid w:val="00582EDA"/>
  </w:style>
  <w:style w:type="paragraph" w:styleId="Footer">
    <w:name w:val="footer"/>
    <w:basedOn w:val="Normal"/>
    <w:link w:val="FooterChar"/>
    <w:uiPriority w:val="99"/>
    <w:unhideWhenUsed/>
    <w:rsid w:val="00582EDA"/>
    <w:pPr>
      <w:tabs>
        <w:tab w:val="center" w:pos="4513"/>
        <w:tab w:val="right" w:pos="9026"/>
      </w:tabs>
    </w:pPr>
  </w:style>
  <w:style w:type="character" w:customStyle="1" w:styleId="FooterChar">
    <w:name w:val="Footer Char"/>
    <w:basedOn w:val="DefaultParagraphFont"/>
    <w:link w:val="Footer"/>
    <w:uiPriority w:val="99"/>
    <w:rsid w:val="00582EDA"/>
  </w:style>
  <w:style w:type="character" w:customStyle="1" w:styleId="Heading1Char">
    <w:name w:val="Heading 1 Char"/>
    <w:basedOn w:val="DefaultParagraphFont"/>
    <w:link w:val="Heading1"/>
    <w:rsid w:val="00582EDA"/>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82EDA"/>
    <w:rPr>
      <w:rFonts w:ascii="Cambria" w:eastAsia="Times New Roman" w:hAnsi="Cambria" w:cs="Times New Roman"/>
      <w:i/>
      <w:iCs/>
      <w:color w:val="243F60"/>
      <w:sz w:val="24"/>
      <w:szCs w:val="24"/>
    </w:rPr>
  </w:style>
  <w:style w:type="character" w:styleId="Hyperlink">
    <w:name w:val="Hyperlink"/>
    <w:basedOn w:val="DefaultParagraphFont"/>
    <w:semiHidden/>
    <w:rsid w:val="00582E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d.gov.uk" TargetMode="External"/><Relationship Id="rId3" Type="http://schemas.openxmlformats.org/officeDocument/2006/relationships/settings" Target="settings.xml"/><Relationship Id="rId7" Type="http://schemas.openxmlformats.org/officeDocument/2006/relationships/hyperlink" Target="https://portal.eyalliance.org.uk/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eschoolla.sharepoint.com/sites/COMM/Shared%20Documents/Pubs/Pubs%20Print%20Promo/Pub%20Drafts/A030%20Was%20A026%20Policies%20%26%20Procedures%20for%20the%20EYFS%202021/A030%20FINAL/www.communitie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Hannis</dc:creator>
  <cp:keywords/>
  <dc:description/>
  <cp:lastModifiedBy>Barbara Hannis</cp:lastModifiedBy>
  <cp:revision>2</cp:revision>
  <dcterms:created xsi:type="dcterms:W3CDTF">2022-08-19T14:56:00Z</dcterms:created>
  <dcterms:modified xsi:type="dcterms:W3CDTF">2022-08-19T14:56:00Z</dcterms:modified>
</cp:coreProperties>
</file>